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line">
                  <wp:posOffset>-142240</wp:posOffset>
                </wp:positionV>
                <wp:extent cx="906781" cy="697231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1" cy="697231"/>
                          <a:chOff x="0" y="0"/>
                          <a:chExt cx="906780" cy="6972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0pt;margin-top:-11.2pt;width:71.4pt;height:5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06780,697230">
                <w10:wrap type="square" side="bothSides" anchorx="text"/>
                <v:rect id="_x0000_s1027" style="position:absolute;left:0;top:0;width:906780;height:6972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06780;height:697230;">
                  <v:imagedata r:id="rId4" o:title="image1.jpg"/>
                </v:shape>
              </v:group>
            </w:pict>
          </mc:Fallback>
        </mc:AlternateContent>
      </w:r>
      <w:r>
        <w:tab/>
      </w:r>
      <w:r>
        <w:rPr>
          <w:rFonts w:ascii="Arial" w:hAnsi="Arial"/>
          <w:sz w:val="24"/>
          <w:szCs w:val="24"/>
          <w:rtl w:val="0"/>
          <w:lang w:val="de-DE"/>
        </w:rPr>
        <w:t xml:space="preserve">Fachbereich  Biologie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>bilingual</w:t>
        <w:tab/>
        <w:tab/>
        <w:tab/>
        <w:tab/>
        <w:tab/>
        <w:tab/>
        <w:tab/>
        <w:tab/>
        <w:tab/>
        <w:tab/>
        <w:t>Stand: 01/2016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  <w:r>
        <w:tab/>
      </w:r>
      <w:r>
        <w:rPr>
          <w:rFonts w:ascii="Arial" w:hAnsi="Arial"/>
          <w:b w:val="1"/>
          <w:bCs w:val="1"/>
          <w:color w:val="0000ff"/>
          <w:sz w:val="36"/>
          <w:szCs w:val="36"/>
          <w:u w:color="0000ff"/>
          <w:rtl w:val="0"/>
          <w:lang w:val="de-DE"/>
        </w:rPr>
        <w:t>GYMNASIUM  ISERNHAGEN</w:t>
        <w:tab/>
      </w:r>
    </w:p>
    <w:p>
      <w:pPr>
        <w:pStyle w:val="Normal.0"/>
        <w:ind w:left="708" w:firstLine="708"/>
        <w:jc w:val="right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Schulinternes Curriculum 9. Jg.</w:t>
      </w:r>
      <w:r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  <w:tab/>
      </w:r>
    </w:p>
    <w:tbl>
      <w:tblPr>
        <w:tblW w:w="1428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3031"/>
        <w:gridCol w:w="3753"/>
        <w:gridCol w:w="158"/>
        <w:gridCol w:w="3212"/>
        <w:gridCol w:w="1751"/>
      </w:tblGrid>
      <w:tr>
        <w:tblPrEx>
          <w:shd w:val="clear" w:color="auto" w:fill="ced7e7"/>
        </w:tblPrEx>
        <w:trPr>
          <w:trHeight w:val="1644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Thema</w:t>
            </w:r>
            <w:r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Inhaltsbezogene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Kompetenzen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(FW)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Prozessbezogene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Kompetenzen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(EG, KK, BW)</w:t>
            </w:r>
          </w:p>
        </w:tc>
        <w:tc>
          <w:tcPr>
            <w:tcW w:type="dxa" w:w="33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Medien/ Hinweise 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cherverbindende Themen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>(in Vorbereitung)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2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color w:val="0000ff"/>
                <w:sz w:val="28"/>
                <w:szCs w:val="28"/>
                <w:u w:color="0000ff"/>
                <w:rtl w:val="0"/>
                <w:lang w:val="en-US"/>
              </w:rPr>
              <w:t xml:space="preserve">Senses Open up the World 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en-US"/>
              </w:rPr>
              <w:t>Specific senses of animals and humans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FW 1.3</w:t>
            </w:r>
            <w:r>
              <w:rPr>
                <w:rtl w:val="0"/>
                <w:lang w:val="de-DE"/>
              </w:rPr>
              <w:t>: wenden das Schl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ssel-Schloss-Prinzip modellhaft und eigenst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ndig auf neue F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lle von Spezifit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t an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KK 1.1.1</w:t>
            </w:r>
            <w:r>
              <w:rPr>
                <w:rtl w:val="0"/>
                <w:lang w:val="de-DE"/>
              </w:rPr>
              <w:t xml:space="preserve">: referieren mit eigener Gliederung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ein biologisches Thema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KK 1.1.2</w:t>
            </w:r>
            <w:r>
              <w:rPr>
                <w:rtl w:val="0"/>
                <w:lang w:val="de-DE"/>
              </w:rPr>
              <w:t>: 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sentieren Ergebnisse mit angemessenen Medien</w:t>
            </w:r>
          </w:p>
        </w:tc>
        <w:tc>
          <w:tcPr>
            <w:tcW w:type="dxa" w:w="33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en-US"/>
              </w:rPr>
              <w:t>students may give little presentations about specific animal senses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en-US"/>
              </w:rPr>
              <w:t>Seeing with eyes and brain (perception, stimulus and response)</w:t>
            </w:r>
          </w:p>
          <w:p>
            <w:pPr>
              <w:pStyle w:val="No 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bright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dark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bright: The eye reacts! (pupillary reflex and functioning of the photoreceptors/ retina)</w:t>
            </w:r>
          </w:p>
          <w:p>
            <w:pPr>
              <w:pStyle w:val="No 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ear: audioception, equilibrioception, proprioception </w:t>
            </w:r>
          </w:p>
          <w:p>
            <w:pPr>
              <w:pStyle w:val="No Spacing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nerve and neuron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de-DE"/>
              </w:rPr>
            </w:pPr>
            <w:r>
              <w:rPr>
                <w:b w:val="0"/>
                <w:bCs w:val="0"/>
                <w:rtl w:val="0"/>
                <w:lang w:val="de-DE"/>
              </w:rPr>
              <w:t>Reflex arc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FW 3</w:t>
            </w:r>
            <w:r>
              <w:rPr>
                <w:rtl w:val="0"/>
                <w:lang w:val="de-DE"/>
              </w:rPr>
              <w:t>: erl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utern die Funktion von physiologischen Regelmechanismen, z. B. Pupillenreaktion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FW 5.1.1</w:t>
            </w:r>
            <w:r>
              <w:rPr>
                <w:rtl w:val="0"/>
                <w:lang w:val="de-DE"/>
              </w:rPr>
              <w:t>: beschreiben den Weg vom ad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 xml:space="preserve">quaten Reiz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die Ausl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>sung der Erregung und die Erregungs-weiterleitung zum Gehirn.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FW 5.1.2</w:t>
            </w:r>
            <w:r>
              <w:rPr>
                <w:rtl w:val="0"/>
                <w:lang w:val="de-DE"/>
              </w:rPr>
              <w:t>: erl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utern die Funktion von Sinnesorganen, Informationen aus der Umwelt als Reize aufzunehmen und in Nervensignale umzuwandeln.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EG 2.4</w:t>
            </w:r>
            <w:r>
              <w:rPr>
                <w:rtl w:val="0"/>
                <w:lang w:val="de-DE"/>
              </w:rPr>
              <w:t>: 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parieren ein Organ (Auge)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 xml:space="preserve">EG 2.6 </w:t>
            </w:r>
            <w:r>
              <w:rPr>
                <w:rtl w:val="0"/>
                <w:lang w:val="de-DE"/>
              </w:rPr>
              <w:t>unterscheiden zwischen naturwissenschaftlichen Erkl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rungen und Alltagserkl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rungen.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 xml:space="preserve">EG 2.8 </w:t>
            </w:r>
            <w:r>
              <w:rPr>
                <w:rtl w:val="0"/>
                <w:lang w:val="de-DE"/>
              </w:rPr>
              <w:t>unterscheiden zwischen der Zell-, der Gewebe- und der Organebene</w:t>
            </w:r>
            <w:r>
              <w:rPr>
                <w:i w:val="1"/>
                <w:iCs w:val="1"/>
                <w:rtl w:val="0"/>
                <w:lang w:val="de-DE"/>
              </w:rPr>
              <w:t>.(Wdh. Jhg.8)</w:t>
            </w:r>
          </w:p>
        </w:tc>
        <w:tc>
          <w:tcPr>
            <w:tcW w:type="dxa" w:w="33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en-US"/>
              </w:rPr>
              <w:t>preparation of a pig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eye (Schulbiologiezentrum)</w:t>
            </w:r>
          </w:p>
          <w:p>
            <w:pPr>
              <w:pStyle w:val="No Spacing"/>
              <w:rPr>
                <w:lang w:val="en-US"/>
              </w:rPr>
            </w:pPr>
          </w:p>
          <w:p>
            <w:pPr>
              <w:pStyle w:val="No Spacing"/>
            </w:pPr>
            <w:r>
              <w:rPr>
                <w:rtl w:val="0"/>
                <w:lang w:val="en-US"/>
              </w:rPr>
              <w:t>experiments: blind spot, eye-reaction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2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color w:val="0000ff"/>
                <w:sz w:val="28"/>
                <w:szCs w:val="28"/>
                <w:u w:color="0000ff"/>
                <w:rtl w:val="0"/>
                <w:lang w:val="en-US"/>
              </w:rPr>
              <w:t>Exemplary Scientific Working: Infectious Diseases</w:t>
            </w:r>
          </w:p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Example: puerperal fever (</w:t>
            </w:r>
            <w:r>
              <w:rPr>
                <w:b w:val="1"/>
                <w:bCs w:val="1"/>
                <w:rtl w:val="0"/>
                <w:lang w:val="en-US"/>
              </w:rPr>
              <w:t>„</w:t>
            </w:r>
            <w:r>
              <w:rPr>
                <w:b w:val="1"/>
                <w:bCs w:val="1"/>
                <w:rtl w:val="0"/>
                <w:lang w:val="en-US"/>
              </w:rPr>
              <w:t>childbed fever</w:t>
            </w: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  <w:p>
            <w:pPr>
              <w:pStyle w:val="No Spacing"/>
            </w:pPr>
            <w:r>
              <w:rPr>
                <w:rtl w:val="0"/>
                <w:lang w:val="de-DE"/>
              </w:rPr>
              <w:t>Semmelweis</w:t>
            </w:r>
            <w:r>
              <w:rPr>
                <w:rtl w:val="0"/>
                <w:lang w:val="de-DE"/>
              </w:rPr>
              <w:t xml:space="preserve">‘ </w:t>
            </w:r>
            <w:r>
              <w:rPr>
                <w:rtl w:val="0"/>
                <w:lang w:val="de-DE"/>
              </w:rPr>
              <w:t>experiments</w:t>
            </w:r>
            <w:r/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EG 1.1.2</w:t>
            </w:r>
            <w:r>
              <w:rPr>
                <w:rtl w:val="0"/>
                <w:lang w:val="de-DE"/>
              </w:rPr>
              <w:t>: beschreiben strukturiert komplexe Diagramme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EG 2.6.2</w:t>
            </w:r>
            <w:r>
              <w:rPr>
                <w:rtl w:val="0"/>
                <w:lang w:val="de-DE"/>
              </w:rPr>
              <w:t>: diskutieren die Aussagekraft der Ergebnisse.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 xml:space="preserve">EG 2.6.3: </w:t>
            </w:r>
            <w:r>
              <w:rPr>
                <w:rtl w:val="0"/>
                <w:lang w:val="de-DE"/>
              </w:rPr>
              <w:t>unterscheiden kausale, d.h. die unmittelbare Ursache betreffende Fragestellungen und funktionale, d.h. die biologische Funktion</w:t>
            </w:r>
            <w:r>
              <w:rPr>
                <w:b w:val="1"/>
                <w:bCs w:val="1"/>
                <w:rtl w:val="0"/>
                <w:lang w:val="de-DE"/>
              </w:rPr>
              <w:t xml:space="preserve"> </w:t>
            </w:r>
          </w:p>
          <w:p>
            <w:pPr>
              <w:pStyle w:val="No Spacing"/>
              <w:rPr>
                <w:lang w:val="de-DE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EG 2.7</w:t>
            </w:r>
            <w:r>
              <w:rPr>
                <w:rtl w:val="0"/>
                <w:lang w:val="de-DE"/>
              </w:rPr>
              <w:t>: wenden den naturwissenschaftlichen/ hypothetisch-deduktiven Erkenntnisweg zur L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 xml:space="preserve">sung neuer Probleme an. 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inhalt"/>
            </w:pPr>
            <w:r>
              <w:rPr>
                <w:sz w:val="22"/>
                <w:szCs w:val="22"/>
                <w:lang w:val="de-DE"/>
              </w:rPr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What are bacteria?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de-DE"/>
              </w:rPr>
              <w:t>FW 2.2</w:t>
            </w:r>
            <w:r>
              <w:rPr>
                <w:rtl w:val="0"/>
                <w:lang w:val="de-DE"/>
              </w:rPr>
              <w:t>: beschreiben Unterschiede zwischen prokaryotischen und eukaryotischen Zellen (Zellkern, Zellwand)</w:t>
            </w:r>
          </w:p>
        </w:tc>
        <w:tc>
          <w:tcPr>
            <w:tcW w:type="dxa" w:w="3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inha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Optional: examining yoghurt bacteria under the microscope</w:t>
            </w:r>
          </w:p>
          <w:p>
            <w:pPr>
              <w:pStyle w:val="tabelleninha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Optional: compiling a bacteria culture (material: Schulbiologiezentrum)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Unspecific and specific immune defence</w:t>
            </w:r>
          </w:p>
          <w:p>
            <w:pPr>
              <w:pStyle w:val="No Spacing"/>
              <w:rPr>
                <w:b w:val="1"/>
                <w:bCs w:val="1"/>
                <w:lang w:val="en-US"/>
              </w:rPr>
            </w:pPr>
          </w:p>
          <w:p>
            <w:pPr>
              <w:pStyle w:val="No Spacing"/>
            </w:pPr>
            <w:r>
              <w:rPr>
                <w:rtl w:val="0"/>
                <w:lang w:val="en-US"/>
              </w:rPr>
              <w:t>(antigen-antibody-reaction, lock-and-key principle)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75"/>
              </w:tabs>
            </w:pPr>
            <w:r>
              <w:rPr>
                <w:b w:val="1"/>
                <w:bCs w:val="1"/>
                <w:rtl w:val="0"/>
                <w:lang w:val="de-DE"/>
              </w:rPr>
              <w:t>FW 1.3</w:t>
            </w:r>
            <w:r>
              <w:rPr>
                <w:b w:val="0"/>
                <w:bCs w:val="0"/>
                <w:rtl w:val="0"/>
                <w:lang w:val="de-DE"/>
              </w:rPr>
              <w:t xml:space="preserve"> wenden das Schl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ssel-Schloss-Prinzip modellhaft und eigenst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ndig auf neue F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lle von Spezifit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t an (Antigen-Antik</w:t>
            </w:r>
            <w:r>
              <w:rPr>
                <w:b w:val="0"/>
                <w:bCs w:val="0"/>
                <w:rtl w:val="0"/>
                <w:lang w:val="de-DE"/>
              </w:rPr>
              <w:t>ö</w:t>
            </w:r>
            <w:r>
              <w:rPr>
                <w:b w:val="0"/>
                <w:bCs w:val="0"/>
                <w:rtl w:val="0"/>
                <w:lang w:val="de-DE"/>
              </w:rPr>
              <w:t>rper-Reaktion bei Infektionskrankheiten)</w:t>
            </w:r>
            <w:r>
              <w:rPr>
                <w:b w:val="1"/>
                <w:bCs w:val="1"/>
                <w:sz w:val="24"/>
                <w:szCs w:val="24"/>
                <w:lang w:val="de-DE"/>
              </w:rPr>
              <w:tab/>
            </w:r>
          </w:p>
        </w:tc>
        <w:tc>
          <w:tcPr>
            <w:tcW w:type="dxa" w:w="3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EG 1.1 </w:t>
            </w:r>
            <w:r>
              <w:rPr>
                <w:b w:val="0"/>
                <w:bCs w:val="0"/>
                <w:rtl w:val="0"/>
                <w:lang w:val="de-DE"/>
              </w:rPr>
              <w:t>beschreiben komplexe Zusammen-h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nge strukturiert und sachgerecht.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EG 1.1 </w:t>
            </w:r>
            <w:r>
              <w:rPr>
                <w:sz w:val="22"/>
                <w:szCs w:val="22"/>
                <w:rtl w:val="0"/>
                <w:lang w:val="de-DE"/>
              </w:rPr>
              <w:t>beschreiben strukturiert komplexe Diagramme.</w:t>
            </w:r>
            <w:r>
              <w:rPr>
                <w:sz w:val="24"/>
                <w:szCs w:val="24"/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 xml:space="preserve">EG 1.2 </w:t>
            </w:r>
            <w:r>
              <w:rPr>
                <w:rtl w:val="0"/>
                <w:lang w:val="de-DE"/>
              </w:rPr>
              <w:t>vergleichen komplexe Vorg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nge auf zellul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rer Ebene.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EG 3.1 </w:t>
            </w:r>
            <w:r>
              <w:rPr>
                <w:b w:val="0"/>
                <w:bCs w:val="0"/>
                <w:rtl w:val="0"/>
                <w:lang w:val="de-DE"/>
              </w:rPr>
              <w:t>verwenden einfache modellhafte Symbole zur Beschreibung von Strukturen und Abl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ufen, z. B. bei der Antigen-Antik</w:t>
            </w:r>
            <w:r>
              <w:rPr>
                <w:b w:val="0"/>
                <w:bCs w:val="0"/>
                <w:rtl w:val="0"/>
                <w:lang w:val="de-DE"/>
              </w:rPr>
              <w:t>ö</w:t>
            </w:r>
            <w:r>
              <w:rPr>
                <w:b w:val="0"/>
                <w:bCs w:val="0"/>
                <w:rtl w:val="0"/>
                <w:lang w:val="de-DE"/>
              </w:rPr>
              <w:t xml:space="preserve">rper-Reaktion.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EG 3.1 </w:t>
            </w:r>
            <w:r>
              <w:rPr>
                <w:b w:val="0"/>
                <w:bCs w:val="0"/>
                <w:rtl w:val="0"/>
                <w:lang w:val="de-DE"/>
              </w:rPr>
              <w:t>wenden einfache Modellvorstellungen auf dynamische Prozesse an.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en-US"/>
              </w:rPr>
              <w:t>Vaccination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75"/>
              </w:tabs>
            </w:pPr>
            <w:r>
              <w:rPr>
                <w:b w:val="1"/>
                <w:bCs w:val="1"/>
                <w:rtl w:val="0"/>
                <w:lang w:val="de-DE"/>
              </w:rPr>
              <w:t>FW 1.3</w:t>
            </w:r>
            <w:r>
              <w:rPr>
                <w:b w:val="0"/>
                <w:bCs w:val="0"/>
                <w:rtl w:val="0"/>
                <w:lang w:val="de-DE"/>
              </w:rPr>
              <w:t xml:space="preserve"> wenden das Schl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ssel-Schloss-Prinzip modellhaft und eigenst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ndig auf neue F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lle von Spezifit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t an</w:t>
            </w:r>
          </w:p>
        </w:tc>
        <w:tc>
          <w:tcPr>
            <w:tcW w:type="dxa" w:w="3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EG 2.7 </w:t>
            </w:r>
            <w:r>
              <w:rPr>
                <w:b w:val="0"/>
                <w:bCs w:val="0"/>
                <w:rtl w:val="0"/>
                <w:lang w:val="de-DE"/>
              </w:rPr>
              <w:t>wenden den naturwissenschaftlichen/ hypothetisch-deduktiven Erkenntnisweg zur L</w:t>
            </w:r>
            <w:r>
              <w:rPr>
                <w:b w:val="0"/>
                <w:bCs w:val="0"/>
                <w:rtl w:val="0"/>
                <w:lang w:val="de-DE"/>
              </w:rPr>
              <w:t>ö</w:t>
            </w:r>
            <w:r>
              <w:rPr>
                <w:b w:val="0"/>
                <w:bCs w:val="0"/>
                <w:rtl w:val="0"/>
                <w:lang w:val="de-DE"/>
              </w:rPr>
              <w:t>sung neuer Probleme an.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BW 1 </w:t>
            </w:r>
            <w:r>
              <w:rPr>
                <w:b w:val="0"/>
                <w:bCs w:val="0"/>
                <w:rtl w:val="0"/>
                <w:lang w:val="de-DE"/>
              </w:rPr>
              <w:t>erl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utern, dass Argumente eine Sach-und eine Werteebene enthalten (Impfen).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BW 1 </w:t>
            </w:r>
            <w:r>
              <w:rPr>
                <w:b w:val="0"/>
                <w:bCs w:val="0"/>
                <w:rtl w:val="0"/>
                <w:lang w:val="de-DE"/>
              </w:rPr>
              <w:t>entwickeln Argumente aus unterschiedlichen Perspektiven.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HIV </w:t>
            </w:r>
            <w:r>
              <w:rPr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rtl w:val="0"/>
                <w:lang w:val="en-US"/>
              </w:rPr>
              <w:t>attack on the immune system</w:t>
            </w:r>
          </w:p>
          <w:p>
            <w:pPr>
              <w:pStyle w:val="No Spacing"/>
              <w:rPr>
                <w:b w:val="1"/>
                <w:bCs w:val="1"/>
                <w:lang w:val="en-US"/>
              </w:rPr>
            </w:pPr>
          </w:p>
          <w:p>
            <w:pPr>
              <w:pStyle w:val="No Spacing"/>
            </w:pPr>
            <w:r>
              <w:rPr>
                <w:rtl w:val="0"/>
                <w:lang w:val="en-US"/>
              </w:rPr>
              <w:t>(Cause and course of the disease, dealing with infected people)</w:t>
            </w:r>
          </w:p>
        </w:tc>
        <w:tc>
          <w:tcPr>
            <w:tcW w:type="dxa" w:w="3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75"/>
              </w:tabs>
            </w:pPr>
            <w:r>
              <w:rPr>
                <w:b w:val="1"/>
                <w:bCs w:val="1"/>
                <w:rtl w:val="0"/>
                <w:lang w:val="de-DE"/>
              </w:rPr>
              <w:t xml:space="preserve">FW 1.3 </w:t>
            </w:r>
            <w:r>
              <w:rPr>
                <w:b w:val="0"/>
                <w:bCs w:val="0"/>
                <w:rtl w:val="0"/>
                <w:lang w:val="de-DE"/>
              </w:rPr>
              <w:t>wenden das Schl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ssel-Schloss-Prinzip modellhaft und eigenst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ndig auf neue F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lle von Spezifit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t an</w:t>
            </w:r>
          </w:p>
        </w:tc>
        <w:tc>
          <w:tcPr>
            <w:tcW w:type="dxa" w:w="3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 xml:space="preserve">EG 1.1 </w:t>
            </w:r>
            <w:r>
              <w:rPr>
                <w:b w:val="0"/>
                <w:bCs w:val="0"/>
                <w:rtl w:val="0"/>
                <w:lang w:val="de-DE"/>
              </w:rPr>
              <w:t>beschreiben komplexe Zusammenh</w:t>
            </w:r>
            <w:r>
              <w:rPr>
                <w:b w:val="0"/>
                <w:bCs w:val="0"/>
                <w:rtl w:val="0"/>
                <w:lang w:val="de-DE"/>
              </w:rPr>
              <w:t>ä</w:t>
            </w:r>
            <w:r>
              <w:rPr>
                <w:b w:val="0"/>
                <w:bCs w:val="0"/>
                <w:rtl w:val="0"/>
                <w:lang w:val="de-DE"/>
              </w:rPr>
              <w:t>nge strukturiert und sachgerecht.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right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  <w:tab/>
      </w:r>
    </w:p>
    <w:sectPr>
      <w:headerReference w:type="default" r:id="rId5"/>
      <w:footerReference w:type="default" r:id="rId6"/>
      <w:pgSz w:w="16840" w:h="11900" w:orient="landscape"/>
      <w:pgMar w:top="851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elleninhalt">
    <w:name w:val="tabelleninhalt"/>
    <w:next w:val="tabelleninha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