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E71E" w14:textId="77777777" w:rsidR="001128D5" w:rsidRPr="007D05A4" w:rsidRDefault="001128D5" w:rsidP="001128D5">
      <w:pPr>
        <w:jc w:val="center"/>
        <w:rPr>
          <w:rFonts w:asciiTheme="minorHAnsi" w:hAnsiTheme="minorHAnsi" w:cstheme="minorHAnsi"/>
        </w:rPr>
      </w:pPr>
      <w:r w:rsidRPr="007D05A4">
        <w:rPr>
          <w:rFonts w:asciiTheme="minorHAnsi" w:hAnsiTheme="minorHAnsi" w:cstheme="minorHAnsi"/>
        </w:rPr>
        <w:t>Themenschwerpunkte und Kompetenzvermittlung</w:t>
      </w:r>
    </w:p>
    <w:p w14:paraId="51503B58" w14:textId="77777777" w:rsidR="001128D5" w:rsidRPr="007D05A4" w:rsidRDefault="001128D5" w:rsidP="001128D5">
      <w:pPr>
        <w:jc w:val="center"/>
        <w:rPr>
          <w:rFonts w:asciiTheme="minorHAnsi" w:hAnsiTheme="minorHAnsi" w:cstheme="minorHAnsi"/>
        </w:rPr>
      </w:pPr>
      <w:r w:rsidRPr="007D05A4">
        <w:rPr>
          <w:rFonts w:asciiTheme="minorHAnsi" w:hAnsiTheme="minorHAnsi" w:cstheme="minorHAnsi"/>
        </w:rPr>
        <w:t xml:space="preserve">in der </w:t>
      </w:r>
      <w:r>
        <w:rPr>
          <w:rFonts w:asciiTheme="minorHAnsi" w:hAnsiTheme="minorHAnsi" w:cstheme="minorHAnsi"/>
        </w:rPr>
        <w:t>Einführung</w:t>
      </w:r>
      <w:r w:rsidRPr="007D05A4">
        <w:rPr>
          <w:rFonts w:asciiTheme="minorHAnsi" w:hAnsiTheme="minorHAnsi" w:cstheme="minorHAnsi"/>
        </w:rPr>
        <w:t xml:space="preserve">sphase am GI </w:t>
      </w:r>
      <w:proofErr w:type="spellStart"/>
      <w:r w:rsidRPr="007D05A4">
        <w:rPr>
          <w:rFonts w:asciiTheme="minorHAnsi" w:hAnsiTheme="minorHAnsi" w:cstheme="minorHAnsi"/>
        </w:rPr>
        <w:t>für</w:t>
      </w:r>
      <w:proofErr w:type="spellEnd"/>
      <w:r w:rsidRPr="007D05A4">
        <w:rPr>
          <w:rFonts w:asciiTheme="minorHAnsi" w:hAnsiTheme="minorHAnsi" w:cstheme="minorHAnsi"/>
        </w:rPr>
        <w:t xml:space="preserve"> das Fach</w:t>
      </w:r>
    </w:p>
    <w:p w14:paraId="0E0189D2" w14:textId="77777777" w:rsidR="001128D5" w:rsidRPr="007D05A4" w:rsidRDefault="001128D5" w:rsidP="001128D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D05A4">
        <w:rPr>
          <w:rFonts w:asciiTheme="minorHAnsi" w:hAnsiTheme="minorHAnsi" w:cstheme="minorHAnsi"/>
          <w:b/>
          <w:sz w:val="40"/>
          <w:szCs w:val="40"/>
        </w:rPr>
        <w:t>Musik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597"/>
        <w:gridCol w:w="597"/>
      </w:tblGrid>
      <w:tr w:rsidR="001128D5" w:rsidRPr="007D05A4" w14:paraId="71223174" w14:textId="77777777" w:rsidTr="00343A1B">
        <w:trPr>
          <w:gridAfter w:val="1"/>
          <w:wAfter w:w="597" w:type="dxa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0F183" w14:textId="77777777" w:rsidR="001128D5" w:rsidRPr="007D05A4" w:rsidRDefault="00DB2961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Wahlmöglichkeiten</w:t>
            </w:r>
            <w:r w:rsidR="001128D5" w:rsidRPr="007D05A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E6DAB" w14:textId="0B24740E" w:rsidR="001128D5" w:rsidRPr="00EA501A" w:rsidRDefault="005C48C2" w:rsidP="004C78DD">
            <w:pPr>
              <w:spacing w:before="100" w:beforeAutospacing="1" w:after="100" w:afterAutospacing="1"/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>Du kannst</w:t>
            </w:r>
            <w:r w:rsidR="00FF4F14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Musik 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in Jahrgang 11 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ganzjährig </w:t>
            </w:r>
            <w:r w:rsidR="00A822E4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in beiden Halbjahren, in nur einem Halbjahr oder </w:t>
            </w:r>
            <w:r w:rsidR="00FF4F14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gar nicht belegen. </w:t>
            </w:r>
            <w:r w:rsidR="00A822E4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Beide Kurse sind </w:t>
            </w:r>
            <w:r w:rsidR="00EA501A">
              <w:rPr>
                <w:rFonts w:ascii="Calibri" w:eastAsiaTheme="minorHAnsi" w:hAnsi="Calibri" w:cs="Calibri"/>
                <w:sz w:val="22"/>
                <w:szCs w:val="22"/>
              </w:rPr>
              <w:t xml:space="preserve">sinnvoll </w:t>
            </w:r>
            <w:r w:rsidR="00A822E4" w:rsidRPr="004C78DD">
              <w:rPr>
                <w:rFonts w:ascii="Calibri" w:eastAsiaTheme="minorHAnsi" w:hAnsi="Calibri" w:cs="Calibri"/>
                <w:sz w:val="22"/>
                <w:szCs w:val="22"/>
              </w:rPr>
              <w:t>kombinierbar</w:t>
            </w:r>
            <w:r w:rsidR="006E5628">
              <w:rPr>
                <w:rFonts w:ascii="Calibri" w:eastAsiaTheme="minorHAnsi" w:hAnsi="Calibri" w:cs="Calibri"/>
                <w:sz w:val="22"/>
                <w:szCs w:val="22"/>
              </w:rPr>
              <w:t xml:space="preserve">. </w:t>
            </w:r>
            <w:r w:rsidR="006D2D8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</w:tc>
      </w:tr>
      <w:tr w:rsidR="001128D5" w:rsidRPr="007D05A4" w14:paraId="1B1C3504" w14:textId="77777777" w:rsidTr="00343A1B">
        <w:trPr>
          <w:gridAfter w:val="1"/>
          <w:wAfter w:w="597" w:type="dxa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0248E" w14:textId="77777777" w:rsidR="001128D5" w:rsidRPr="007D05A4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Themen- </w:t>
            </w:r>
            <w:proofErr w:type="spellStart"/>
            <w:r w:rsidRPr="007D05A4">
              <w:rPr>
                <w:rFonts w:asciiTheme="minorHAnsi" w:hAnsiTheme="minorHAnsi" w:cstheme="minorHAnsi"/>
                <w:b/>
              </w:rPr>
              <w:t>schwerpunkte</w:t>
            </w:r>
            <w:proofErr w:type="spellEnd"/>
            <w:r w:rsidRPr="007D05A4">
              <w:rPr>
                <w:rFonts w:asciiTheme="minorHAnsi" w:hAnsiTheme="minorHAnsi" w:cstheme="minorHAnsi"/>
                <w:b/>
              </w:rPr>
              <w:t xml:space="preserve">                   und Inhalte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72757" w14:textId="77777777" w:rsidR="001128D5" w:rsidRPr="005C48C2" w:rsidRDefault="001128D5" w:rsidP="001128D5">
            <w:pPr>
              <w:pStyle w:val="StandardWeb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C48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11.1 </w:t>
            </w:r>
            <w:r w:rsidR="005E1439" w:rsidRPr="005C48C2">
              <w:rPr>
                <w:rFonts w:ascii="Calibri" w:hAnsi="Calibri" w:cs="Calibri"/>
                <w:b/>
                <w:bCs/>
                <w:sz w:val="20"/>
                <w:szCs w:val="20"/>
              </w:rPr>
              <w:t>Musik in ihrer Entwicklung: Stationen und Prozesse vom Mittelalter bis zur Moderne</w:t>
            </w:r>
            <w:r w:rsidR="005E1439" w:rsidRPr="005C48C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E4D0095" w14:textId="77777777" w:rsidR="0089090A" w:rsidRPr="005C48C2" w:rsidRDefault="0089090A" w:rsidP="001128D5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48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11.2 </w:t>
            </w:r>
            <w:r w:rsidR="005E1439" w:rsidRPr="005C48C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Das Konzert im Wandel der Zeit</w:t>
            </w:r>
          </w:p>
        </w:tc>
      </w:tr>
      <w:tr w:rsidR="001128D5" w:rsidRPr="007D05A4" w14:paraId="0957BE66" w14:textId="77777777" w:rsidTr="00343A1B">
        <w:trPr>
          <w:gridAfter w:val="1"/>
          <w:wAfter w:w="597" w:type="dxa"/>
        </w:trPr>
        <w:tc>
          <w:tcPr>
            <w:tcW w:w="206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2A88B0" w14:textId="77777777" w:rsidR="001128D5" w:rsidRPr="007D05A4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Kompetenzen 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CA7E30" w14:textId="77777777" w:rsidR="001128D5" w:rsidRPr="00A822E4" w:rsidRDefault="001128D5" w:rsidP="009315B1">
            <w:pPr>
              <w:pStyle w:val="StandardWeb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 xml:space="preserve">Musik </w:t>
            </w:r>
            <w:r w:rsidR="00DB2961" w:rsidRPr="00A822E4">
              <w:rPr>
                <w:rFonts w:ascii="Calibri" w:hAnsi="Calibri" w:cs="Calibri"/>
              </w:rPr>
              <w:t xml:space="preserve">spielen oder singen </w:t>
            </w:r>
          </w:p>
        </w:tc>
      </w:tr>
      <w:tr w:rsidR="001128D5" w:rsidRPr="007D05A4" w14:paraId="32C9D6E4" w14:textId="77777777" w:rsidTr="00343A1B">
        <w:trPr>
          <w:gridAfter w:val="1"/>
          <w:wAfter w:w="597" w:type="dxa"/>
        </w:trPr>
        <w:tc>
          <w:tcPr>
            <w:tcW w:w="20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30030F" w14:textId="77777777" w:rsidR="001128D5" w:rsidRPr="007D05A4" w:rsidRDefault="001128D5" w:rsidP="009315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20C2B" w14:textId="77777777" w:rsidR="001128D5" w:rsidRPr="00A822E4" w:rsidRDefault="001128D5" w:rsidP="009315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>Musik hören und beschreiben</w:t>
            </w:r>
            <w:r w:rsidR="00DB2961" w:rsidRPr="00A822E4">
              <w:rPr>
                <w:rFonts w:ascii="Calibri" w:hAnsi="Calibri" w:cs="Calibri"/>
              </w:rPr>
              <w:t xml:space="preserve">, analysieren und interpretieren </w:t>
            </w:r>
          </w:p>
        </w:tc>
      </w:tr>
      <w:tr w:rsidR="005C48C2" w:rsidRPr="007D05A4" w14:paraId="425CFDF5" w14:textId="77777777" w:rsidTr="00343A1B">
        <w:trPr>
          <w:gridAfter w:val="1"/>
          <w:wAfter w:w="597" w:type="dxa"/>
        </w:trPr>
        <w:tc>
          <w:tcPr>
            <w:tcW w:w="20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ED425D" w14:textId="77777777" w:rsidR="005C48C2" w:rsidRPr="007D05A4" w:rsidRDefault="005C48C2" w:rsidP="009315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B3E3" w14:textId="5E8B2345" w:rsidR="005C48C2" w:rsidRPr="00A822E4" w:rsidRDefault="004C78DD" w:rsidP="009315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78DD">
              <w:rPr>
                <w:rFonts w:ascii="Calibri" w:hAnsi="Calibri" w:cs="Calibri"/>
              </w:rPr>
              <w:t>historische, gesellschaftliche und kulturelle Bezüg</w:t>
            </w:r>
            <w:r>
              <w:rPr>
                <w:rFonts w:ascii="Calibri" w:hAnsi="Calibri" w:cs="Calibri"/>
              </w:rPr>
              <w:t>e von Musik untersuchen</w:t>
            </w:r>
          </w:p>
        </w:tc>
      </w:tr>
      <w:tr w:rsidR="001128D5" w:rsidRPr="007D05A4" w14:paraId="14E60142" w14:textId="77777777" w:rsidTr="00343A1B">
        <w:trPr>
          <w:gridAfter w:val="1"/>
          <w:wAfter w:w="597" w:type="dxa"/>
        </w:trPr>
        <w:tc>
          <w:tcPr>
            <w:tcW w:w="20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45B9AE" w14:textId="77777777" w:rsidR="001128D5" w:rsidRPr="007D05A4" w:rsidRDefault="001128D5" w:rsidP="009315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0FB51" w14:textId="2510C1D0" w:rsidR="005C48C2" w:rsidRPr="00A822E4" w:rsidRDefault="00DB2961" w:rsidP="009315B1">
            <w:pPr>
              <w:pStyle w:val="StandardWeb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>Konzertformate</w:t>
            </w:r>
            <w:r w:rsidR="00540989" w:rsidRPr="00A822E4">
              <w:rPr>
                <w:rFonts w:ascii="Calibri" w:hAnsi="Calibri" w:cs="Calibri"/>
              </w:rPr>
              <w:t xml:space="preserve"> </w:t>
            </w:r>
            <w:r w:rsidRPr="00A822E4">
              <w:rPr>
                <w:rFonts w:ascii="Calibri" w:hAnsi="Calibri" w:cs="Calibri"/>
              </w:rPr>
              <w:t xml:space="preserve">der Gegenwart vergleichen </w:t>
            </w:r>
          </w:p>
        </w:tc>
      </w:tr>
      <w:tr w:rsidR="001128D5" w:rsidRPr="007D05A4" w14:paraId="23F74D67" w14:textId="77777777" w:rsidTr="00343A1B">
        <w:trPr>
          <w:gridAfter w:val="1"/>
          <w:wAfter w:w="597" w:type="dxa"/>
          <w:trHeight w:val="1818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B089C" w14:textId="77777777" w:rsidR="001128D5" w:rsidRPr="00E10F2A" w:rsidRDefault="001128D5" w:rsidP="009315B1">
            <w:pPr>
              <w:pStyle w:val="KeinLeerraum"/>
              <w:rPr>
                <w:rFonts w:cstheme="minorHAnsi"/>
                <w:i/>
                <w:lang w:eastAsia="de-DE"/>
              </w:rPr>
            </w:pPr>
            <w:r w:rsidRPr="00E10F2A">
              <w:rPr>
                <w:rFonts w:cstheme="minorHAnsi"/>
                <w:i/>
                <w:lang w:eastAsia="de-DE"/>
              </w:rPr>
              <w:t xml:space="preserve">Vorläufige </w:t>
            </w:r>
          </w:p>
          <w:p w14:paraId="46162C07" w14:textId="77777777" w:rsidR="001128D5" w:rsidRPr="00E10F2A" w:rsidRDefault="001128D5" w:rsidP="009315B1">
            <w:pPr>
              <w:pStyle w:val="KeinLeerraum"/>
              <w:rPr>
                <w:rFonts w:cstheme="minorHAnsi"/>
                <w:b/>
                <w:lang w:eastAsia="de-DE"/>
              </w:rPr>
            </w:pPr>
            <w:r w:rsidRPr="00E10F2A">
              <w:rPr>
                <w:rFonts w:cstheme="minorHAnsi"/>
                <w:b/>
                <w:lang w:eastAsia="de-DE"/>
              </w:rPr>
              <w:t>Kursbeschreibung</w:t>
            </w:r>
            <w:r w:rsidR="00343A1B" w:rsidRPr="00E10F2A">
              <w:rPr>
                <w:rFonts w:cstheme="minorHAnsi"/>
                <w:b/>
                <w:lang w:eastAsia="de-DE"/>
              </w:rPr>
              <w:t>en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3DCD6" w14:textId="777A6844" w:rsidR="00343A1B" w:rsidRPr="004C78DD" w:rsidRDefault="00343A1B" w:rsidP="00EA501A">
            <w:pPr>
              <w:jc w:val="both"/>
              <w:rPr>
                <w:rFonts w:ascii="Calibri" w:eastAsiaTheme="minorHAnsi" w:hAnsi="Calibri" w:cs="Calibri"/>
                <w:color w:val="FF0000"/>
                <w:sz w:val="22"/>
                <w:szCs w:val="22"/>
              </w:rPr>
            </w:pP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>11.1</w:t>
            </w:r>
            <w:r w:rsidR="0089090A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. </w:t>
            </w:r>
            <w:r w:rsidR="000F6DB5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Dieser Kurs richtet seinen Fokus auf musikalische Allgemeinbildung und kulturgeschichtliche Zusammenhänge. Dafür werden die Kompetenzen aus dem bisherigen Musikunterricht </w:t>
            </w:r>
            <w:r w:rsidR="00FF4F14" w:rsidRPr="004C78DD">
              <w:rPr>
                <w:rFonts w:ascii="Calibri" w:eastAsiaTheme="minorHAnsi" w:hAnsi="Calibri" w:cs="Calibri"/>
                <w:sz w:val="22"/>
                <w:szCs w:val="22"/>
              </w:rPr>
              <w:t>aufgegriffen</w:t>
            </w:r>
            <w:r w:rsidR="000F6DB5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. Inhaltlich geht es dabei um </w:t>
            </w:r>
            <w:r w:rsidR="00FF4F14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wichtige </w:t>
            </w:r>
            <w:r w:rsidR="000F6DB5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Stationen und Prozesse der Musikgeschichte. </w:t>
            </w:r>
            <w:r w:rsidR="00F012A8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Verschiedene Gattungen werden </w:t>
            </w:r>
            <w:r w:rsidR="00FF4F14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musikpraktisch </w:t>
            </w:r>
            <w:r w:rsidR="00F012A8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vertieft</w:t>
            </w:r>
            <w:r w:rsidR="00A822E4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und du gewinnst dadurch einen guten Überblick</w:t>
            </w:r>
            <w:r w:rsidR="004C78DD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, der auch für andere Fächer hilfreich sein kann</w:t>
            </w:r>
            <w:r w:rsidR="006D2D81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und auf die Oberstufe vorbereitet. </w:t>
            </w:r>
            <w:r w:rsidR="004C78DD" w:rsidRPr="004C78D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85BE4D8" w14:textId="77777777" w:rsidR="00E10F2A" w:rsidRPr="004C78DD" w:rsidRDefault="00E10F2A" w:rsidP="00EA501A">
            <w:pPr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386709E9" w14:textId="6A525E4D" w:rsidR="000F6DB5" w:rsidRPr="004C78DD" w:rsidRDefault="00343A1B" w:rsidP="00EA501A">
            <w:pPr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11.2 </w:t>
            </w:r>
            <w:r w:rsidR="000F6DB5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Du erlernst in dem Konzertkurs solche Kompetenzen, die eigentlich erst später in einem Halbjahr der Oberstufe vorgesehen sind- natürlich an anderen Musikstücken. Dadurch bist du ideal vorbereitet auf das, worauf du dich in Jg. 12/13 freuen kannst. Wie könnte so ein Vorbereitungskurs aussehen? </w:t>
            </w:r>
          </w:p>
          <w:p w14:paraId="63F40882" w14:textId="66D2A03E" w:rsidR="00343A1B" w:rsidRPr="00A822E4" w:rsidRDefault="000F6DB5" w:rsidP="00EA501A">
            <w:pPr>
              <w:jc w:val="both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Voraussichtlich wird die Entwicklung der Gattung Konzert an Beispielen 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>der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Anfänge, über das barocke Concerto Grosso bis zum klassischen Solokonzert und </w:t>
            </w:r>
            <w:proofErr w:type="spellStart"/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>Virtuosenkonzert</w:t>
            </w:r>
            <w:proofErr w:type="spellEnd"/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der Romantik untersucht. Es können aber auch Rock-und Popkonzerte und aktuelle Formen (z.B. digitale Konzerte, Wandelkonzerte etc.) eine Rolle spielen.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4C78DD" w:rsidRPr="004C78DD">
              <w:rPr>
                <w:rFonts w:ascii="Calibri" w:hAnsi="Calibri" w:cs="Calibri"/>
                <w:sz w:val="22"/>
                <w:szCs w:val="22"/>
              </w:rPr>
              <w:t xml:space="preserve">Dabei </w:t>
            </w:r>
            <w:r w:rsidR="006D2D81" w:rsidRPr="004C78DD">
              <w:rPr>
                <w:rFonts w:ascii="Calibri" w:hAnsi="Calibri" w:cs="Calibri"/>
                <w:sz w:val="22"/>
                <w:szCs w:val="22"/>
              </w:rPr>
              <w:t>werden</w:t>
            </w:r>
            <w:r w:rsidR="004C78DD" w:rsidRPr="004C78DD">
              <w:rPr>
                <w:rFonts w:ascii="Calibri" w:hAnsi="Calibri" w:cs="Calibri"/>
                <w:sz w:val="22"/>
                <w:szCs w:val="22"/>
              </w:rPr>
              <w:t xml:space="preserve"> das eigene Singen und Musizieren nicht zu kurz kommen. Abhängig vom Interesse und von den Fähigkeit</w:t>
            </w:r>
            <w:r w:rsidR="006D2D81">
              <w:rPr>
                <w:rFonts w:ascii="Calibri" w:hAnsi="Calibri" w:cs="Calibri"/>
                <w:sz w:val="22"/>
                <w:szCs w:val="22"/>
              </w:rPr>
              <w:t>en</w:t>
            </w:r>
            <w:r w:rsidR="004C78DD" w:rsidRPr="004C78DD">
              <w:rPr>
                <w:rFonts w:ascii="Calibri" w:hAnsi="Calibri" w:cs="Calibri"/>
                <w:sz w:val="22"/>
                <w:szCs w:val="22"/>
              </w:rPr>
              <w:t xml:space="preserve"> der Teilnehmenden werden wir versuchen, ein musikalisches Projekt auf die Beine zu stellen. 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>D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as Thema Konzert lässt </w:t>
            </w:r>
            <w:r w:rsidR="006D2D81">
              <w:rPr>
                <w:rFonts w:ascii="Calibri" w:eastAsiaTheme="minorHAnsi" w:hAnsi="Calibri" w:cs="Calibri"/>
                <w:sz w:val="22"/>
                <w:szCs w:val="22"/>
              </w:rPr>
              <w:t>also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viele Gestaltungsmöglichkeiten offen, wobei der Fokus auf 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>die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Vorbereitung</w:t>
            </w:r>
            <w:r w:rsidR="004C78DD"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der Oberstufe</w:t>
            </w:r>
            <w:r w:rsidRPr="004C78DD">
              <w:rPr>
                <w:rFonts w:ascii="Calibri" w:eastAsiaTheme="minorHAnsi" w:hAnsi="Calibri" w:cs="Calibri"/>
                <w:sz w:val="22"/>
                <w:szCs w:val="22"/>
              </w:rPr>
              <w:t xml:space="preserve"> gelegt werden soll.</w:t>
            </w:r>
            <w:r w:rsidRPr="00A822E4">
              <w:rPr>
                <w:rFonts w:ascii="Calibri" w:eastAsiaTheme="minorHAnsi" w:hAnsi="Calibri" w:cs="Calibri"/>
                <w:sz w:val="20"/>
                <w:szCs w:val="20"/>
              </w:rPr>
              <w:t xml:space="preserve">  </w:t>
            </w:r>
          </w:p>
        </w:tc>
      </w:tr>
      <w:tr w:rsidR="001128D5" w:rsidRPr="007D05A4" w14:paraId="33BAF359" w14:textId="77777777" w:rsidTr="004C78DD">
        <w:trPr>
          <w:trHeight w:val="828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B7AF86" w14:textId="77777777" w:rsidR="009D101E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>Bewertung</w:t>
            </w:r>
          </w:p>
          <w:p w14:paraId="61612AA7" w14:textId="49FFADB4" w:rsidR="001128D5" w:rsidRPr="007D05A4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>(</w:t>
            </w:r>
            <w:r w:rsidRPr="007D05A4">
              <w:rPr>
                <w:rFonts w:asciiTheme="minorHAnsi" w:hAnsiTheme="minorHAnsi" w:cstheme="minorHAnsi"/>
              </w:rPr>
              <w:t>sonstige Mitarbeit/ schriftlich)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AE3862" w14:textId="77777777" w:rsidR="0089090A" w:rsidRPr="00A822E4" w:rsidRDefault="001128D5" w:rsidP="009315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 xml:space="preserve">11.1 </w:t>
            </w:r>
            <w:r w:rsidR="00343A1B" w:rsidRPr="00A822E4">
              <w:rPr>
                <w:rFonts w:ascii="Calibri" w:hAnsi="Calibri" w:cs="Calibri"/>
              </w:rPr>
              <w:t xml:space="preserve">      </w:t>
            </w:r>
            <w:r w:rsidRPr="00A822E4">
              <w:rPr>
                <w:rFonts w:ascii="Calibri" w:hAnsi="Calibri" w:cs="Calibri"/>
              </w:rPr>
              <w:t>1 Klausur (70%/30%)</w:t>
            </w:r>
            <w:r w:rsidR="00343A1B" w:rsidRPr="00A822E4">
              <w:rPr>
                <w:rFonts w:ascii="Calibri" w:hAnsi="Calibri" w:cs="Calibri"/>
              </w:rPr>
              <w:t xml:space="preserve"> </w:t>
            </w:r>
          </w:p>
          <w:p w14:paraId="21B60123" w14:textId="77777777" w:rsidR="00343A1B" w:rsidRPr="00A822E4" w:rsidRDefault="00343A1B" w:rsidP="009315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>11.2       1 Klausur (70%/30%)</w:t>
            </w:r>
          </w:p>
        </w:tc>
        <w:tc>
          <w:tcPr>
            <w:tcW w:w="597" w:type="dxa"/>
          </w:tcPr>
          <w:p w14:paraId="5E566704" w14:textId="77777777" w:rsidR="001128D5" w:rsidRPr="007D05A4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1128D5" w:rsidRPr="007D05A4" w14:paraId="48C05D9E" w14:textId="77777777" w:rsidTr="00343A1B">
        <w:trPr>
          <w:gridAfter w:val="1"/>
          <w:wAfter w:w="597" w:type="dxa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67094" w14:textId="77777777" w:rsidR="001128D5" w:rsidRPr="004C78DD" w:rsidRDefault="001128D5" w:rsidP="00343A1B">
            <w:pPr>
              <w:pStyle w:val="KeinLeerraum"/>
              <w:rPr>
                <w:b/>
              </w:rPr>
            </w:pPr>
            <w:r w:rsidRPr="004C78DD">
              <w:rPr>
                <w:b/>
              </w:rPr>
              <w:t xml:space="preserve">Voraussetzungen 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9B009" w14:textId="1070F81D" w:rsidR="00343A1B" w:rsidRPr="00A822E4" w:rsidRDefault="001128D5" w:rsidP="00343A1B">
            <w:pPr>
              <w:pStyle w:val="KeinLeerraum"/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>→ Interesse a</w:t>
            </w:r>
            <w:r w:rsidR="00F6305B" w:rsidRPr="00A822E4">
              <w:rPr>
                <w:rFonts w:ascii="Calibri" w:hAnsi="Calibri" w:cs="Calibri"/>
              </w:rPr>
              <w:t xml:space="preserve">n Musik </w:t>
            </w:r>
          </w:p>
          <w:p w14:paraId="3113340B" w14:textId="294A9668" w:rsidR="001128D5" w:rsidRPr="00A822E4" w:rsidRDefault="00343A1B" w:rsidP="00343A1B">
            <w:pPr>
              <w:pStyle w:val="KeinLeerraum"/>
              <w:rPr>
                <w:rFonts w:ascii="Calibri" w:hAnsi="Calibri" w:cs="Calibri"/>
                <w:color w:val="222222"/>
              </w:rPr>
            </w:pPr>
            <w:r w:rsidRPr="00A822E4">
              <w:rPr>
                <w:rFonts w:ascii="Calibri" w:hAnsi="Calibri" w:cs="Calibri"/>
              </w:rPr>
              <w:t xml:space="preserve">→ Offenheit für das </w:t>
            </w:r>
            <w:r w:rsidRPr="00A822E4">
              <w:rPr>
                <w:rFonts w:ascii="Calibri" w:hAnsi="Calibri" w:cs="Calibri"/>
                <w:color w:val="222222"/>
              </w:rPr>
              <w:t>gemeinsame Singen und Musizieren</w:t>
            </w:r>
            <w:r w:rsidR="001128D5" w:rsidRPr="00A822E4">
              <w:rPr>
                <w:rFonts w:ascii="Calibri" w:hAnsi="Calibri" w:cs="Calibri"/>
              </w:rPr>
              <w:br/>
              <w:t>→ Lernbereitschaft</w:t>
            </w:r>
          </w:p>
        </w:tc>
      </w:tr>
      <w:tr w:rsidR="001128D5" w:rsidRPr="007D05A4" w14:paraId="0B725759" w14:textId="77777777" w:rsidTr="00343A1B">
        <w:trPr>
          <w:gridAfter w:val="1"/>
          <w:wAfter w:w="597" w:type="dxa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6D44527" w14:textId="7169C6C4" w:rsidR="001128D5" w:rsidRPr="007D05A4" w:rsidRDefault="004C78DD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Argumente für das Fach</w:t>
            </w:r>
            <w:r w:rsidR="001128D5" w:rsidRPr="007D05A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D98F8" w14:textId="77777777" w:rsidR="00F6305B" w:rsidRPr="00A822E4" w:rsidRDefault="001128D5" w:rsidP="00F6305B">
            <w:pPr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 xml:space="preserve">→ </w:t>
            </w:r>
            <w:r w:rsidR="00F6305B" w:rsidRPr="00A822E4">
              <w:rPr>
                <w:rFonts w:ascii="Calibri" w:hAnsi="Calibri" w:cs="Calibri"/>
              </w:rPr>
              <w:t xml:space="preserve">gezielte Vorbereitung auf </w:t>
            </w:r>
            <w:r w:rsidR="00343A1B" w:rsidRPr="00A822E4">
              <w:rPr>
                <w:rFonts w:ascii="Calibri" w:hAnsi="Calibri" w:cs="Calibri"/>
              </w:rPr>
              <w:t>mögliche</w:t>
            </w:r>
            <w:r w:rsidR="00F6305B" w:rsidRPr="00A822E4">
              <w:rPr>
                <w:rFonts w:ascii="Calibri" w:hAnsi="Calibri" w:cs="Calibri"/>
              </w:rPr>
              <w:t xml:space="preserve"> </w:t>
            </w:r>
            <w:r w:rsidR="0089090A" w:rsidRPr="00A822E4">
              <w:rPr>
                <w:rFonts w:ascii="Calibri" w:hAnsi="Calibri" w:cs="Calibri"/>
              </w:rPr>
              <w:t>Prüfungskurse in</w:t>
            </w:r>
            <w:r w:rsidR="00F6305B" w:rsidRPr="00A822E4">
              <w:rPr>
                <w:rFonts w:ascii="Calibri" w:hAnsi="Calibri" w:cs="Calibri"/>
              </w:rPr>
              <w:t xml:space="preserve"> Musik </w:t>
            </w:r>
          </w:p>
          <w:p w14:paraId="4F925DF3" w14:textId="77777777" w:rsidR="001128D5" w:rsidRPr="00A822E4" w:rsidRDefault="001128D5" w:rsidP="009315B1">
            <w:pPr>
              <w:rPr>
                <w:rFonts w:ascii="Calibri" w:hAnsi="Calibri" w:cs="Calibri"/>
              </w:rPr>
            </w:pPr>
            <w:r w:rsidRPr="00A822E4">
              <w:rPr>
                <w:rFonts w:ascii="Calibri" w:hAnsi="Calibri" w:cs="Calibri"/>
              </w:rPr>
              <w:t xml:space="preserve">→ </w:t>
            </w:r>
            <w:r w:rsidR="0089090A" w:rsidRPr="00A822E4">
              <w:rPr>
                <w:rFonts w:ascii="Calibri" w:hAnsi="Calibri" w:cs="Calibri"/>
              </w:rPr>
              <w:t>Beitrag zur ästhetischen Bildung</w:t>
            </w:r>
          </w:p>
          <w:p w14:paraId="3D2B16C8" w14:textId="77777777" w:rsidR="001128D5" w:rsidRPr="00A822E4" w:rsidRDefault="001128D5" w:rsidP="009315B1">
            <w:pPr>
              <w:rPr>
                <w:rFonts w:ascii="Calibri" w:hAnsi="Calibri" w:cs="Calibri"/>
                <w:color w:val="222222"/>
              </w:rPr>
            </w:pPr>
            <w:r w:rsidRPr="00A822E4">
              <w:rPr>
                <w:rFonts w:ascii="Calibri" w:hAnsi="Calibri" w:cs="Calibri"/>
              </w:rPr>
              <w:t>→ Erweiterung der musikalischen Identitätsbildung</w:t>
            </w:r>
          </w:p>
          <w:p w14:paraId="3915D8E3" w14:textId="477E2934" w:rsidR="00EA1C67" w:rsidRPr="00A822E4" w:rsidRDefault="001128D5" w:rsidP="009315B1">
            <w:pPr>
              <w:rPr>
                <w:rFonts w:ascii="Calibri" w:hAnsi="Calibri" w:cs="Calibri"/>
                <w:color w:val="222222"/>
              </w:rPr>
            </w:pPr>
            <w:r w:rsidRPr="00A822E4">
              <w:rPr>
                <w:rFonts w:ascii="Calibri" w:hAnsi="Calibri" w:cs="Calibri"/>
              </w:rPr>
              <w:t xml:space="preserve">→ </w:t>
            </w:r>
            <w:r w:rsidR="004C78DD">
              <w:rPr>
                <w:rFonts w:ascii="Calibri" w:hAnsi="Calibri" w:cs="Calibri"/>
                <w:color w:val="222222"/>
              </w:rPr>
              <w:t>Kreatives und fantasievolles Arbeiten</w:t>
            </w:r>
          </w:p>
          <w:p w14:paraId="162E5B54" w14:textId="11C21656" w:rsidR="00F207CB" w:rsidRPr="00A822E4" w:rsidRDefault="00F207CB" w:rsidP="009315B1">
            <w:pPr>
              <w:rPr>
                <w:rFonts w:ascii="Calibri" w:hAnsi="Calibri" w:cs="Calibri"/>
                <w:color w:val="222222"/>
              </w:rPr>
            </w:pPr>
            <w:r w:rsidRPr="00A822E4">
              <w:rPr>
                <w:rFonts w:ascii="Calibri" w:hAnsi="Calibri" w:cs="Calibri"/>
              </w:rPr>
              <w:t xml:space="preserve">→ Verständnis </w:t>
            </w:r>
            <w:r w:rsidR="004C78DD">
              <w:rPr>
                <w:rFonts w:ascii="Calibri" w:hAnsi="Calibri" w:cs="Calibri"/>
              </w:rPr>
              <w:t>fächerübergreifender kulturgeschichtlicher</w:t>
            </w:r>
            <w:r w:rsidRPr="00A822E4">
              <w:rPr>
                <w:rFonts w:ascii="Calibri" w:hAnsi="Calibri" w:cs="Calibri"/>
              </w:rPr>
              <w:t xml:space="preserve"> Zusammenhäng</w:t>
            </w:r>
            <w:r w:rsidR="00F012A8" w:rsidRPr="00A822E4">
              <w:rPr>
                <w:rFonts w:ascii="Calibri" w:hAnsi="Calibri" w:cs="Calibri"/>
              </w:rPr>
              <w:t>e</w:t>
            </w:r>
          </w:p>
        </w:tc>
      </w:tr>
      <w:tr w:rsidR="001128D5" w:rsidRPr="007D05A4" w14:paraId="5DBA8419" w14:textId="77777777" w:rsidTr="00343A1B">
        <w:trPr>
          <w:gridAfter w:val="1"/>
          <w:wAfter w:w="597" w:type="dxa"/>
        </w:trPr>
        <w:tc>
          <w:tcPr>
            <w:tcW w:w="20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8D9CCA" w14:textId="77777777" w:rsidR="001128D5" w:rsidRPr="007D05A4" w:rsidRDefault="001128D5" w:rsidP="009315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>Ansprechpartner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D8B6" w14:textId="3E2527E3" w:rsidR="001128D5" w:rsidRPr="00A822E4" w:rsidRDefault="00030D04" w:rsidP="009315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Frau </w:t>
            </w:r>
            <w:proofErr w:type="spellStart"/>
            <w:r>
              <w:rPr>
                <w:rFonts w:ascii="Calibri" w:hAnsi="Calibri" w:cs="Calibri"/>
              </w:rPr>
              <w:t>Schaer</w:t>
            </w:r>
            <w:proofErr w:type="spellEnd"/>
            <w:r>
              <w:rPr>
                <w:rFonts w:ascii="Calibri" w:hAnsi="Calibri" w:cs="Calibri"/>
              </w:rPr>
              <w:t xml:space="preserve">, Herr Kaminski und </w:t>
            </w:r>
            <w:bookmarkStart w:id="0" w:name="_GoBack"/>
            <w:bookmarkEnd w:id="0"/>
            <w:r w:rsidR="001128D5" w:rsidRPr="00A822E4">
              <w:rPr>
                <w:rFonts w:ascii="Calibri" w:hAnsi="Calibri" w:cs="Calibri"/>
              </w:rPr>
              <w:t xml:space="preserve">Herr </w:t>
            </w:r>
            <w:proofErr w:type="spellStart"/>
            <w:r w:rsidR="001128D5" w:rsidRPr="00A822E4">
              <w:rPr>
                <w:rFonts w:ascii="Calibri" w:hAnsi="Calibri" w:cs="Calibri"/>
              </w:rPr>
              <w:t>Weymann</w:t>
            </w:r>
            <w:proofErr w:type="spellEnd"/>
            <w:r w:rsidR="001128D5" w:rsidRPr="00A822E4">
              <w:rPr>
                <w:rFonts w:ascii="Calibri" w:hAnsi="Calibri" w:cs="Calibri"/>
              </w:rPr>
              <w:t xml:space="preserve"> </w:t>
            </w:r>
          </w:p>
        </w:tc>
      </w:tr>
    </w:tbl>
    <w:p w14:paraId="316D2036" w14:textId="679CC084" w:rsidR="005F6A34" w:rsidRDefault="00030D04"/>
    <w:p w14:paraId="03928191" w14:textId="4F4913FF" w:rsidR="009D101E" w:rsidRDefault="009D101E"/>
    <w:sectPr w:rsidR="009D101E" w:rsidSect="00BD65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B15" w16cex:dateUtc="2020-06-04T15:17:00Z"/>
  <w16cex:commentExtensible w16cex:durableId="2283AB49" w16cex:dateUtc="2020-06-04T15:18:00Z"/>
  <w16cex:commentExtensible w16cex:durableId="2283ACBC" w16cex:dateUtc="2020-06-04T15:24:00Z"/>
  <w16cex:commentExtensible w16cex:durableId="2283AB99" w16cex:dateUtc="2020-06-04T15:19:00Z"/>
  <w16cex:commentExtensible w16cex:durableId="2283ABAE" w16cex:dateUtc="2020-06-04T15:19:00Z"/>
  <w16cex:commentExtensible w16cex:durableId="2283ABC7" w16cex:dateUtc="2020-06-04T15:20:00Z"/>
  <w16cex:commentExtensible w16cex:durableId="2283AC08" w16cex:dateUtc="2020-06-04T15:21:00Z"/>
  <w16cex:commentExtensible w16cex:durableId="2283AC34" w16cex:dateUtc="2020-06-04T15:21:00Z"/>
  <w16cex:commentExtensible w16cex:durableId="2283AC65" w16cex:dateUtc="2020-06-04T15:22:00Z"/>
  <w16cex:commentExtensible w16cex:durableId="2283AC89" w16cex:dateUtc="2020-06-04T15:23:00Z"/>
  <w16cex:commentExtensible w16cex:durableId="2283AC9E" w16cex:dateUtc="2020-06-04T15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55B4C"/>
    <w:multiLevelType w:val="hybridMultilevel"/>
    <w:tmpl w:val="BA803B2E"/>
    <w:lvl w:ilvl="0" w:tplc="F6A2627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5"/>
    <w:rsid w:val="00030D04"/>
    <w:rsid w:val="000F6DB5"/>
    <w:rsid w:val="001128D5"/>
    <w:rsid w:val="00140811"/>
    <w:rsid w:val="002C7804"/>
    <w:rsid w:val="00343A1B"/>
    <w:rsid w:val="004C78DD"/>
    <w:rsid w:val="00523108"/>
    <w:rsid w:val="00540989"/>
    <w:rsid w:val="00567ADD"/>
    <w:rsid w:val="005C48C2"/>
    <w:rsid w:val="005E1439"/>
    <w:rsid w:val="0060756D"/>
    <w:rsid w:val="006D2D81"/>
    <w:rsid w:val="006E5628"/>
    <w:rsid w:val="0089090A"/>
    <w:rsid w:val="009D101E"/>
    <w:rsid w:val="00A822E4"/>
    <w:rsid w:val="00BD652A"/>
    <w:rsid w:val="00CF4200"/>
    <w:rsid w:val="00DB2961"/>
    <w:rsid w:val="00E10F2A"/>
    <w:rsid w:val="00EA1C67"/>
    <w:rsid w:val="00EA501A"/>
    <w:rsid w:val="00F012A8"/>
    <w:rsid w:val="00F207CB"/>
    <w:rsid w:val="00F23D94"/>
    <w:rsid w:val="00F6305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D3B4D"/>
  <w14:defaultImageDpi w14:val="32767"/>
  <w15:chartTrackingRefBased/>
  <w15:docId w15:val="{D2604B1D-36DD-FE4F-A489-CD16FB3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128D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128D5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128D5"/>
  </w:style>
  <w:style w:type="paragraph" w:styleId="Listenabsatz">
    <w:name w:val="List Paragraph"/>
    <w:basedOn w:val="Standard"/>
    <w:uiPriority w:val="34"/>
    <w:qFormat/>
    <w:rsid w:val="00F630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1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2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2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2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2A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2A8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Kaminski</dc:creator>
  <cp:keywords/>
  <dc:description/>
  <cp:lastModifiedBy>Christof Kaminski</cp:lastModifiedBy>
  <cp:revision>6</cp:revision>
  <dcterms:created xsi:type="dcterms:W3CDTF">2020-06-04T18:37:00Z</dcterms:created>
  <dcterms:modified xsi:type="dcterms:W3CDTF">2020-06-09T16:11:00Z</dcterms:modified>
</cp:coreProperties>
</file>