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Arial" w:cs="Arial" w:hAnsi="Arial" w:eastAsia="Arial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line">
                  <wp:posOffset>-142240</wp:posOffset>
                </wp:positionV>
                <wp:extent cx="906781" cy="697231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1" cy="697231"/>
                          <a:chOff x="0" y="0"/>
                          <a:chExt cx="906780" cy="6972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0pt;margin-top:-11.2pt;width:71.4pt;height:5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06780,697230">
                <w10:wrap type="square" side="bothSides" anchorx="text"/>
                <v:rect id="_x0000_s1027" style="position:absolute;left:0;top:0;width:906780;height:6972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06780;height:697230;">
                  <v:imagedata r:id="rId4" o:title="image.jpg"/>
                </v:shape>
              </v:group>
            </w:pict>
          </mc:Fallback>
        </mc:AlternateContent>
      </w:r>
      <w:r>
        <w:tab/>
      </w:r>
      <w:r>
        <w:rPr>
          <w:rFonts w:ascii="Arial" w:hAnsi="Arial"/>
          <w:sz w:val="24"/>
          <w:szCs w:val="24"/>
          <w:rtl w:val="0"/>
          <w:lang w:val="de-DE"/>
        </w:rPr>
        <w:t>Fachbereich  ___Sport bilingual___Jg. 10___________________</w:t>
      </w:r>
    </w:p>
    <w:p>
      <w:pPr>
        <w:pStyle w:val="Standard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  <w:r>
        <w:tab/>
      </w:r>
      <w:r>
        <w:rPr>
          <w:rFonts w:ascii="Arial" w:hAnsi="Arial"/>
          <w:b w:val="1"/>
          <w:bCs w:val="1"/>
          <w:color w:val="0000ff"/>
          <w:sz w:val="36"/>
          <w:szCs w:val="36"/>
          <w:u w:color="0000ff"/>
          <w:rtl w:val="0"/>
          <w:lang w:val="de-DE"/>
        </w:rPr>
        <w:t>GYMNASIUM  ISERNHAGEN</w:t>
        <w:tab/>
      </w:r>
    </w:p>
    <w:p>
      <w:pPr>
        <w:pStyle w:val="Standard"/>
        <w:ind w:left="708" w:firstLine="708"/>
        <w:jc w:val="right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Schulinternes Curriculum  Jg. 10</w:t>
      </w:r>
      <w:r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  <w:tab/>
      </w:r>
    </w:p>
    <w:tbl>
      <w:tblPr>
        <w:tblW w:w="1428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7"/>
        <w:gridCol w:w="1596"/>
        <w:gridCol w:w="4788"/>
        <w:gridCol w:w="3015"/>
        <w:gridCol w:w="2831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Erfahrungs- und Lernfeld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Thema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Inhaltsbezogene Kompetenzen</w:t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Prozessbezogene Kompetenzen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de-DE"/>
              </w:rPr>
              <w:t>cherverbindende Themen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n.V.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val="single" w:color="0000ff"/>
                <w:rtl w:val="0"/>
                <w:lang w:val="en-US"/>
              </w:rPr>
              <w:t>n.V.</w:t>
            </w:r>
          </w:p>
        </w:tc>
        <w:tc>
          <w:tcPr>
            <w:tcW w:type="dxa" w:w="78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Repetition and further development of basic techniques and tactics as compensatory preparation for sports classes in Sek. II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2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Spielen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val="single" w:color="0000ff"/>
                <w:rtl w:val="0"/>
                <w:lang w:val="en-US"/>
              </w:rPr>
              <w:t>Basketball</w:t>
            </w:r>
            <w:r>
              <w:rPr>
                <w:rFonts w:ascii="Arial" w:cs="Arial" w:hAnsi="Arial" w:eastAsia="Arial"/>
                <w:color w:val="0000ff"/>
                <w:sz w:val="24"/>
                <w:szCs w:val="24"/>
                <w:u w:val="single" w:color="0000ff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 xml:space="preserve">Knowledge and performance of basic techniques (ball handling) as well as elementary individual and team tactics; </w:t>
            </w:r>
          </w:p>
          <w:p>
            <w:pPr>
              <w:pStyle w:val="Standard"/>
              <w:bidi w:val="0"/>
              <w:spacing w:after="12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knowledge of basic rules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 xml:space="preserve">Technical terms: court, hoop/basket, offense, defense, shooting, score, passing, dribbling </w:t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Establishing a set of norms and values (obeying rules, fairness, playing in a team)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2" w:hRule="atLeast"/>
        </w:trPr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Laufen, Springen,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Werfen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val="single" w:color="0000ff"/>
                <w:rtl w:val="0"/>
                <w:lang w:val="en-US"/>
              </w:rPr>
              <w:t>High jump</w:t>
            </w: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spacing w:after="12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val="single" w:color="0000ff"/>
                <w:rtl w:val="0"/>
                <w:lang w:val="en-US"/>
              </w:rPr>
              <w:t>Running</w:t>
            </w:r>
            <w:r>
              <w:rPr>
                <w:rFonts w:ascii="Arial" w:cs="Arial" w:hAnsi="Arial" w:eastAsia="Arial"/>
                <w:color w:val="0000ff"/>
                <w:sz w:val="24"/>
                <w:szCs w:val="24"/>
                <w:u w:val="single" w:color="0000ff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12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Knowledge and performance of basic elements of Fosbury-Flop (coordination)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Technical terms: run-up/approach, stride, curve, drive leg, to clear/knock off the bar, flexion, vertical/ horizontal axis, momentum</w:t>
            </w: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Gaining ability of at least 30 minutes of continuous running; participation in Awb.-Seelauf (10,8 km);</w:t>
            </w:r>
          </w:p>
          <w:p>
            <w:pPr>
              <w:pStyle w:val="Standard"/>
              <w:bidi w:val="0"/>
              <w:spacing w:after="12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knowledge of training methods for improving individual fitness;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Technical terms: pace, recovery, breathing rate,  heart rate, (an-)aerobic (threshold), oxygen, cardiovascular system</w:t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Setting realistic goals,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overcoming fears,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knowing and pushing limits</w:t>
            </w:r>
          </w:p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spacing w:after="120" w:line="240" w:lineRule="auto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0000ff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Strengthening of self-confidence,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u w:color="0000ff"/>
                <w:rtl w:val="0"/>
                <w:lang w:val="en-US"/>
              </w:rPr>
              <w:t>knowing about positive influences on mental and physical health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line="240" w:lineRule="auto"/>
        <w:jc w:val="right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</w:p>
    <w:p>
      <w:pPr>
        <w:pStyle w:val="Standard"/>
      </w:pPr>
      <w:r>
        <w:rPr>
          <w:rFonts w:ascii="Arial" w:cs="Arial" w:hAnsi="Arial" w:eastAsia="Arial"/>
          <w:color w:val="0000ff"/>
          <w:sz w:val="36"/>
          <w:szCs w:val="36"/>
          <w:u w:color="0000ff"/>
          <w:lang w:val="en-US"/>
        </w:rPr>
        <w:tab/>
      </w:r>
    </w:p>
    <w:sectPr>
      <w:headerReference w:type="default" r:id="rId5"/>
      <w:footerReference w:type="default" r:id="rId6"/>
      <w:pgSz w:w="16840" w:h="11900" w:orient="landscape"/>
      <w:pgMar w:top="851" w:right="1418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